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16B6" w14:textId="423ADCC8" w:rsidR="00A31407" w:rsidRDefault="00FC4169" w:rsidP="00FC4169">
      <w:pPr>
        <w:pStyle w:val="Ttulo"/>
        <w:ind w:left="360"/>
        <w:rPr>
          <w:rFonts w:ascii="Arial" w:hAnsi="Arial" w:cs="Arial"/>
          <w:color w:val="FF0000"/>
          <w:szCs w:val="24"/>
        </w:rPr>
      </w:pPr>
      <w:r w:rsidRPr="00FC4169">
        <w:rPr>
          <w:rFonts w:ascii="Arial" w:hAnsi="Arial" w:cs="Arial"/>
          <w:color w:val="FF0000"/>
          <w:szCs w:val="24"/>
        </w:rPr>
        <w:t>ANEXO XVI</w:t>
      </w:r>
    </w:p>
    <w:p w14:paraId="5927E36B" w14:textId="77777777" w:rsidR="00FC4169" w:rsidRDefault="00FC4169" w:rsidP="00FC4169">
      <w:pPr>
        <w:pStyle w:val="Ttulo"/>
        <w:ind w:left="360"/>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r w:rsidR="001747C8" w:rsidRPr="001747C8">
        <w:rPr>
          <w:rFonts w:ascii="Arial" w:hAnsi="Arial" w:cs="Arial"/>
          <w:sz w:val="24"/>
          <w:szCs w:val="24"/>
        </w:rPr>
        <w:t>NRs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Pr="00A47D5D" w:rsidRDefault="00A31407" w:rsidP="001747C8">
      <w:pPr>
        <w:pStyle w:val="Corpodetexto"/>
        <w:jc w:val="both"/>
        <w:rPr>
          <w:rFonts w:cs="Arial"/>
          <w:sz w:val="24"/>
          <w:szCs w:val="24"/>
          <w:lang w:val="pt-BR"/>
        </w:rPr>
      </w:pPr>
      <w:r w:rsidRPr="00A47D5D">
        <w:rPr>
          <w:rFonts w:cs="Arial"/>
          <w:sz w:val="24"/>
          <w:szCs w:val="24"/>
          <w:lang w:val="pt-BR"/>
        </w:rPr>
        <w:t>O objeto dessa licitação é a contratação de uma empresa que forneça material e mão de obra para a NOVA UNIDADE SENAC – SÃO PAULO.</w:t>
      </w:r>
    </w:p>
    <w:p w14:paraId="7FE3C964" w14:textId="77777777" w:rsidR="00A31407" w:rsidRPr="00A47D5D" w:rsidRDefault="00A31407" w:rsidP="001747C8">
      <w:pPr>
        <w:pStyle w:val="Corpodetexto"/>
        <w:jc w:val="both"/>
        <w:rPr>
          <w:rFonts w:cs="Arial"/>
          <w:sz w:val="24"/>
          <w:szCs w:val="24"/>
          <w:lang w:val="pt-BR"/>
        </w:rPr>
      </w:pPr>
      <w:r w:rsidRPr="00A47D5D">
        <w:rPr>
          <w:rFonts w:cs="Arial"/>
          <w:sz w:val="24"/>
          <w:szCs w:val="24"/>
          <w:lang w:val="pt-BR"/>
        </w:rPr>
        <w:t>Antes de apresentar sua proposta, a licitante deverá analisar todos os documentos do Edital, sendo obrigatória a vistoria dos locais dos serviços, executando todos os levantamentos necessários ao desenvolvimento de seus trabalhos, de modo a não incorrer em omissões, as quais não poderão ser alegadas em favor de eventuais pretensões de acréscimo de preços.</w:t>
      </w:r>
    </w:p>
    <w:p w14:paraId="60B1F803" w14:textId="77777777" w:rsidR="00A31407" w:rsidRPr="00A47D5D" w:rsidRDefault="00A31407" w:rsidP="001747C8">
      <w:pPr>
        <w:pStyle w:val="Corpodetexto"/>
        <w:jc w:val="both"/>
        <w:rPr>
          <w:rFonts w:cs="Arial"/>
          <w:sz w:val="24"/>
          <w:szCs w:val="24"/>
          <w:lang w:val="pt-BR"/>
        </w:rPr>
      </w:pPr>
      <w:r w:rsidRPr="00A47D5D">
        <w:rPr>
          <w:rFonts w:cs="Arial"/>
          <w:sz w:val="24"/>
          <w:szCs w:val="24"/>
          <w:lang w:val="pt-BR"/>
        </w:rPr>
        <w:t>É obrigatória a vistoria dos locais onde serão prestados os serviços por representante legal devidamente qualificado para esse fim para que se tenha um melhor conhecimento do escopo dos serviços.</w:t>
      </w:r>
    </w:p>
    <w:p w14:paraId="4C921031" w14:textId="77777777" w:rsidR="00F2044F" w:rsidRPr="00A47D5D" w:rsidRDefault="00F2044F" w:rsidP="001747C8">
      <w:pPr>
        <w:pStyle w:val="Corpodetexto"/>
        <w:jc w:val="both"/>
        <w:rPr>
          <w:rFonts w:cs="Arial"/>
          <w:sz w:val="24"/>
          <w:szCs w:val="24"/>
          <w:lang w:val="pt-BR"/>
        </w:rPr>
      </w:pPr>
    </w:p>
    <w:p w14:paraId="26848081" w14:textId="3628CA26" w:rsidR="00A31407" w:rsidRPr="00A47D5D" w:rsidRDefault="00A31407" w:rsidP="001747C8">
      <w:pPr>
        <w:pStyle w:val="Corpodetexto"/>
        <w:jc w:val="both"/>
        <w:rPr>
          <w:rFonts w:cs="Arial"/>
          <w:sz w:val="24"/>
          <w:szCs w:val="24"/>
          <w:lang w:val="pt-BR"/>
        </w:rPr>
      </w:pPr>
      <w:r w:rsidRPr="00A47D5D">
        <w:rPr>
          <w:rFonts w:cs="Arial"/>
          <w:sz w:val="24"/>
          <w:szCs w:val="24"/>
          <w:lang w:val="pt-BR"/>
        </w:rPr>
        <w:t>A visita para realização de vistoria ao local onde serão realizados</w:t>
      </w:r>
      <w:r w:rsidR="001747C8" w:rsidRPr="00A47D5D">
        <w:rPr>
          <w:rFonts w:cs="Arial"/>
          <w:sz w:val="24"/>
          <w:szCs w:val="24"/>
          <w:lang w:val="pt-BR"/>
        </w:rPr>
        <w:t xml:space="preserve"> </w:t>
      </w:r>
      <w:r w:rsidRPr="00A47D5D">
        <w:rPr>
          <w:rFonts w:cs="Arial"/>
          <w:sz w:val="24"/>
          <w:szCs w:val="24"/>
          <w:lang w:val="pt-BR"/>
        </w:rPr>
        <w:t xml:space="preserve">os serviços de engenharia deverá ser previamente agendada com </w:t>
      </w:r>
      <w:r w:rsidRPr="00A47D5D">
        <w:rPr>
          <w:rFonts w:cs="Arial"/>
          <w:b/>
          <w:sz w:val="24"/>
          <w:szCs w:val="24"/>
          <w:lang w:val="pt-BR"/>
        </w:rPr>
        <w:t>Engenheiro Fiscal / SENAC / Telefones e E-mail,</w:t>
      </w:r>
      <w:r w:rsidRPr="00A47D5D">
        <w:rPr>
          <w:rFonts w:cs="Arial"/>
          <w:sz w:val="24"/>
          <w:szCs w:val="24"/>
          <w:lang w:val="pt-BR"/>
        </w:rPr>
        <w:t xml:space="preserve"> das 9:00 h às 18:00 h, conforme prazo previsto em edital. A vistoria deverá ser realizada por engenheiro civil, arquiteto ou técnico de edificações, devidamente registrado no CREA ou CAU e autorizado pelo responsável técnico indicado pela empresa para os serviços, caso não seja ele mesmo que participe da vistoria.</w:t>
      </w:r>
    </w:p>
    <w:p w14:paraId="081A623C" w14:textId="77777777" w:rsidR="001747C8" w:rsidRPr="00A47D5D" w:rsidRDefault="001747C8" w:rsidP="001747C8">
      <w:pPr>
        <w:pStyle w:val="Corpodetexto"/>
        <w:jc w:val="both"/>
        <w:rPr>
          <w:rFonts w:cs="Arial"/>
          <w:sz w:val="24"/>
          <w:szCs w:val="24"/>
          <w:lang w:val="pt-BR"/>
        </w:rPr>
      </w:pPr>
    </w:p>
    <w:p w14:paraId="1CF10964" w14:textId="77777777" w:rsidR="001747C8" w:rsidRPr="00A47D5D" w:rsidRDefault="00A31407" w:rsidP="001747C8">
      <w:pPr>
        <w:pStyle w:val="Corpodetexto"/>
        <w:jc w:val="both"/>
        <w:rPr>
          <w:rFonts w:cs="Arial"/>
          <w:sz w:val="24"/>
          <w:szCs w:val="24"/>
          <w:lang w:val="pt-BR"/>
        </w:rPr>
      </w:pPr>
      <w:r w:rsidRPr="00A47D5D">
        <w:rPr>
          <w:rFonts w:cs="Arial"/>
          <w:sz w:val="24"/>
          <w:szCs w:val="24"/>
          <w:lang w:val="pt-BR"/>
        </w:rPr>
        <w:t>A visita tem como objetivo a análise do local em que serão realizados os serviços, para conhecimento de peculiaridades que possam vir a influenciar nos preços ofertados pelas licitantes.</w:t>
      </w:r>
    </w:p>
    <w:p w14:paraId="4442A08A" w14:textId="77373B76" w:rsidR="00A31407" w:rsidRPr="00A47D5D" w:rsidRDefault="00A31407" w:rsidP="001747C8">
      <w:pPr>
        <w:pStyle w:val="Corpodetexto"/>
        <w:jc w:val="both"/>
        <w:rPr>
          <w:rFonts w:cs="Arial"/>
          <w:sz w:val="24"/>
          <w:szCs w:val="24"/>
          <w:lang w:val="pt-BR"/>
        </w:rPr>
      </w:pPr>
      <w:r w:rsidRPr="00A47D5D">
        <w:rPr>
          <w:rFonts w:cs="Arial"/>
          <w:sz w:val="24"/>
          <w:szCs w:val="24"/>
          <w:lang w:val="pt-BR"/>
        </w:rPr>
        <w:t xml:space="preserve"> </w:t>
      </w:r>
    </w:p>
    <w:p w14:paraId="31BC402F" w14:textId="77777777" w:rsidR="001747C8" w:rsidRPr="00A47D5D" w:rsidRDefault="00A31407" w:rsidP="001747C8">
      <w:pPr>
        <w:pStyle w:val="Corpodetexto"/>
        <w:jc w:val="both"/>
        <w:rPr>
          <w:rFonts w:cs="Arial"/>
          <w:sz w:val="24"/>
          <w:szCs w:val="24"/>
          <w:lang w:val="pt-BR"/>
        </w:rPr>
      </w:pPr>
      <w:r w:rsidRPr="00A47D5D">
        <w:rPr>
          <w:rFonts w:cs="Arial"/>
          <w:sz w:val="24"/>
          <w:szCs w:val="24"/>
          <w:lang w:val="pt-BR"/>
        </w:rPr>
        <w:t>Possíveis indefinições, omissões, falhas ou incorreções dos projetos ora fornecidos não poderão constituir pretexto para a CONTRATADA pretender cobrar “serviços extras” e/ou alterar a composição de preços unitários depois de entregues.</w:t>
      </w:r>
    </w:p>
    <w:p w14:paraId="29846265" w14:textId="77777777" w:rsidR="001747C8" w:rsidRPr="00A47D5D" w:rsidRDefault="001747C8" w:rsidP="001747C8">
      <w:pPr>
        <w:pStyle w:val="Corpodetexto"/>
        <w:jc w:val="both"/>
        <w:rPr>
          <w:rFonts w:cs="Arial"/>
          <w:sz w:val="24"/>
          <w:szCs w:val="24"/>
          <w:lang w:val="pt-BR"/>
        </w:rPr>
      </w:pPr>
    </w:p>
    <w:p w14:paraId="4B15B981" w14:textId="56BF7B8E" w:rsidR="00A31407" w:rsidRPr="00A47D5D" w:rsidRDefault="00A31407" w:rsidP="001747C8">
      <w:pPr>
        <w:pStyle w:val="Corpodetexto"/>
        <w:jc w:val="both"/>
        <w:rPr>
          <w:rFonts w:cs="Arial"/>
          <w:sz w:val="24"/>
          <w:szCs w:val="24"/>
          <w:lang w:val="pt-BR"/>
        </w:rPr>
      </w:pPr>
      <w:r w:rsidRPr="00A47D5D">
        <w:rPr>
          <w:rFonts w:cs="Arial"/>
          <w:sz w:val="24"/>
          <w:szCs w:val="24"/>
          <w:lang w:val="pt-BR"/>
        </w:rPr>
        <w:t>Considerar</w:t>
      </w:r>
      <w:r w:rsidRPr="00A47D5D">
        <w:rPr>
          <w:rFonts w:cs="Arial"/>
          <w:sz w:val="24"/>
          <w:szCs w:val="24"/>
          <w:lang w:val="pt-BR"/>
        </w:rPr>
        <w:noBreakHyphen/>
        <w:t>se</w:t>
      </w:r>
      <w:r w:rsidRPr="00A47D5D">
        <w:rPr>
          <w:rFonts w:cs="Arial"/>
          <w:sz w:val="24"/>
          <w:szCs w:val="24"/>
          <w:lang w:val="pt-BR"/>
        </w:rPr>
        <w:noBreakHyphen/>
        <w:t>á a CONTRATADA como altamente especializada nos serviços em questão e que, por conseguinte, deverá ter computado, nos valores unitários dos serviços, também, as complementações e acessórios por acaso omitidos nos projetos, mas implícitos e necessários ao perfeito e completo funcionamento de todas as instalações, máquinas, equipamentos e aparelhos.</w:t>
      </w:r>
    </w:p>
    <w:p w14:paraId="77DF290D" w14:textId="77777777" w:rsidR="001747C8" w:rsidRPr="00A47D5D" w:rsidRDefault="001747C8" w:rsidP="001747C8">
      <w:pPr>
        <w:pStyle w:val="Corpodetexto"/>
        <w:jc w:val="both"/>
        <w:rPr>
          <w:rFonts w:cs="Arial"/>
          <w:sz w:val="24"/>
          <w:szCs w:val="24"/>
          <w:lang w:val="pt-BR"/>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lastRenderedPageBreak/>
        <w:t>Observação: Os PROJETOS EXECUTIVOS da obra serão 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Pr="00A47D5D" w:rsidRDefault="00A31407" w:rsidP="001747C8">
      <w:pPr>
        <w:pStyle w:val="Corpodetexto"/>
        <w:ind w:left="0"/>
        <w:rPr>
          <w:rFonts w:cs="Arial"/>
          <w:sz w:val="24"/>
          <w:szCs w:val="24"/>
          <w:lang w:val="pt-BR"/>
        </w:rPr>
      </w:pPr>
      <w:r w:rsidRPr="00A47D5D">
        <w:rPr>
          <w:rFonts w:cs="Arial"/>
          <w:sz w:val="24"/>
          <w:szCs w:val="24"/>
          <w:lang w:val="pt-BR"/>
        </w:rPr>
        <w:t>Todos os materiais a serem empregados nos serviços deverão ser comprovadamente de primeiro uso e devem atender rigorosamente aos padrões especificados e às normas da ABNT, devendo ser submetidos à aprovação da FISCALIZAÇÃO</w:t>
      </w:r>
      <w:r w:rsidR="001747C8" w:rsidRPr="00A47D5D">
        <w:rPr>
          <w:rFonts w:cs="Arial"/>
          <w:sz w:val="24"/>
          <w:szCs w:val="24"/>
          <w:lang w:val="pt-BR"/>
        </w:rPr>
        <w:t>.</w:t>
      </w:r>
    </w:p>
    <w:p w14:paraId="4E5103EC" w14:textId="77777777" w:rsidR="001747C8" w:rsidRPr="00A47D5D" w:rsidRDefault="001747C8" w:rsidP="001747C8">
      <w:pPr>
        <w:pStyle w:val="Corpodetexto"/>
        <w:ind w:left="0"/>
        <w:rPr>
          <w:rFonts w:cs="Arial"/>
          <w:sz w:val="24"/>
          <w:szCs w:val="24"/>
          <w:lang w:val="pt-BR"/>
        </w:rPr>
      </w:pPr>
    </w:p>
    <w:p w14:paraId="329AABBA" w14:textId="67E81A97" w:rsidR="00A31407" w:rsidRPr="00A47D5D" w:rsidRDefault="00A31407" w:rsidP="001747C8">
      <w:pPr>
        <w:pStyle w:val="Corpodetexto"/>
        <w:ind w:left="0"/>
        <w:rPr>
          <w:rFonts w:cs="Arial"/>
          <w:sz w:val="24"/>
          <w:szCs w:val="24"/>
          <w:lang w:val="pt-BR"/>
        </w:rPr>
      </w:pPr>
      <w:r w:rsidRPr="00A47D5D">
        <w:rPr>
          <w:rFonts w:cs="Arial"/>
          <w:sz w:val="24"/>
          <w:szCs w:val="24"/>
          <w:lang w:val="pt-BR"/>
        </w:rPr>
        <w:lastRenderedPageBreak/>
        <w:t xml:space="preserve">A CONTRATADA deverá providenciar a aquisição dos materiais em tempo hábil para a execução dos serviços de acordo com o cronograma. </w:t>
      </w:r>
    </w:p>
    <w:p w14:paraId="72BACFB7" w14:textId="77777777" w:rsidR="00A31407" w:rsidRPr="00A47D5D" w:rsidRDefault="00A31407" w:rsidP="001747C8">
      <w:pPr>
        <w:pStyle w:val="Corpodetexto"/>
        <w:ind w:left="0"/>
        <w:rPr>
          <w:rFonts w:cs="Arial"/>
          <w:sz w:val="24"/>
          <w:szCs w:val="24"/>
          <w:lang w:val="pt-BR"/>
        </w:rPr>
      </w:pPr>
      <w:r w:rsidRPr="00A47D5D">
        <w:rPr>
          <w:rFonts w:cs="Arial"/>
          <w:sz w:val="24"/>
          <w:szCs w:val="24"/>
          <w:lang w:val="pt-BR"/>
        </w:rPr>
        <w:t>A FISCALIZAÇÃO não aceitará a alegação de atraso dos serviços devido ao não fornecimento tempestivo dos materiais pelos fornecedores.</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Caberá à CONTRATADA executar, na presença da FISCALIZAÇÃO, os testes de recebimento dos equipamentos especificados. Tais testes serão executados de acordo com as normas pertinentes.</w:t>
      </w:r>
    </w:p>
    <w:p w14:paraId="7F3E7FC0" w14:textId="77777777" w:rsidR="00A31407" w:rsidRPr="00A47D5D" w:rsidRDefault="00A31407" w:rsidP="00A31407">
      <w:pPr>
        <w:pStyle w:val="Corpodetexto"/>
        <w:ind w:left="0"/>
        <w:jc w:val="both"/>
        <w:rPr>
          <w:rFonts w:cs="Arial"/>
          <w:sz w:val="24"/>
          <w:szCs w:val="24"/>
          <w:lang w:val="pt-BR"/>
        </w:rPr>
      </w:pPr>
      <w:r w:rsidRPr="00A47D5D">
        <w:rPr>
          <w:rFonts w:cs="Arial"/>
          <w:sz w:val="24"/>
          <w:szCs w:val="24"/>
          <w:lang w:val="pt-BR"/>
        </w:rPr>
        <w:t>Os produtos e subprodutos florestais de origem nativa da flora brasileira aplicados na obra deverão ser provenientes de empresas que pratiquem o manejo sustentável, devidamente cadastradas e fiscalizadas pelo IBAMA e/ou com certificação de instituições reconhecidas pelo mesmo. Tais produtos englobam as madeiras em toras, toretes, postes não imunizados, escoramentos, palanques roliços, dormentes, estacas e mourões, fôrmas, achas e lascas, pranchões desdobrados com motossera e madeira serrada sob qualquer forma, faqueada ou em lâminas.</w:t>
      </w:r>
    </w:p>
    <w:p w14:paraId="1BB7D639" w14:textId="77777777" w:rsidR="00A31407" w:rsidRPr="00A47D5D" w:rsidRDefault="00A31407" w:rsidP="00A31407">
      <w:pPr>
        <w:pStyle w:val="Corpodetexto"/>
        <w:ind w:left="360"/>
        <w:rPr>
          <w:rFonts w:cs="Arial"/>
          <w:sz w:val="24"/>
          <w:szCs w:val="24"/>
          <w:lang w:val="pt-BR"/>
        </w:rPr>
      </w:pPr>
    </w:p>
    <w:p w14:paraId="76A20AB7" w14:textId="77777777" w:rsidR="00A31407" w:rsidRPr="00A47D5D" w:rsidRDefault="00A31407" w:rsidP="00A31407">
      <w:pPr>
        <w:pStyle w:val="Corpodetexto"/>
        <w:ind w:left="360"/>
        <w:rPr>
          <w:rFonts w:cs="Arial"/>
          <w:sz w:val="24"/>
          <w:szCs w:val="24"/>
          <w:lang w:val="pt-BR"/>
        </w:rPr>
      </w:pPr>
    </w:p>
    <w:p w14:paraId="41820FA8" w14:textId="77777777" w:rsidR="00A31407" w:rsidRPr="00A47D5D" w:rsidRDefault="00A31407" w:rsidP="009C4F2F">
      <w:pPr>
        <w:pStyle w:val="Corpodetexto"/>
        <w:jc w:val="both"/>
        <w:rPr>
          <w:rFonts w:cs="Arial"/>
          <w:sz w:val="24"/>
          <w:szCs w:val="24"/>
          <w:lang w:val="pt-BR"/>
        </w:rPr>
      </w:pPr>
      <w:r w:rsidRPr="00A47D5D">
        <w:rPr>
          <w:rFonts w:cs="Arial"/>
          <w:sz w:val="24"/>
          <w:szCs w:val="24"/>
          <w:lang w:val="pt-BR"/>
        </w:rPr>
        <w:t>A CONTRATADA fica obrigada a apresentar as notas fiscais expedidas na compra dos subprodutos florestais utilizados na obra, discriminando produto e quantidade em metros cúbicos, bem assim o número do Documento de Origem Florestal - DOF, Guias Florestais e/ou outros eventualmente criados para o controle de produtos e subprodutos florestais, relativos à respectiva operação de venda.</w:t>
      </w:r>
    </w:p>
    <w:p w14:paraId="359F7F91" w14:textId="77777777" w:rsidR="00A31407" w:rsidRPr="00A47D5D" w:rsidRDefault="00A31407" w:rsidP="00A31407">
      <w:pPr>
        <w:pStyle w:val="Corpodetexto"/>
        <w:ind w:left="360"/>
        <w:rPr>
          <w:rFonts w:cs="Arial"/>
          <w:sz w:val="24"/>
          <w:szCs w:val="24"/>
          <w:lang w:val="pt-BR"/>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lastRenderedPageBreak/>
        <w:t>Após a celebração do Contrato, não será levada em conta qualquer reclamação ou solicitação de alteração dos preços constantes da Proposta da CONTRATADA</w:t>
      </w:r>
      <w:r w:rsidRPr="00E265BC">
        <w:rPr>
          <w:rFonts w:ascii="Arial" w:hAnsi="Arial" w:cs="Arial"/>
        </w:rPr>
        <w:t>, salvo motivo devidamente justificado.</w:t>
      </w:r>
    </w:p>
    <w:p w14:paraId="0A6F2AC4" w14:textId="77777777" w:rsidR="00A31407" w:rsidRPr="00A47D5D" w:rsidRDefault="00A31407" w:rsidP="009C4F2F">
      <w:pPr>
        <w:pStyle w:val="Corpodetexto"/>
        <w:ind w:left="0"/>
        <w:jc w:val="both"/>
        <w:rPr>
          <w:rFonts w:cs="Arial"/>
          <w:sz w:val="24"/>
          <w:szCs w:val="24"/>
          <w:lang w:val="pt-BR"/>
        </w:rPr>
      </w:pPr>
      <w:r w:rsidRPr="00A47D5D">
        <w:rPr>
          <w:rFonts w:cs="Arial"/>
          <w:sz w:val="24"/>
          <w:szCs w:val="24"/>
          <w:lang w:val="pt-BR"/>
        </w:rPr>
        <w:t>A CONTRATADA deverá levar em conta todas as precauções e zelar permanentemente para que as suas operações não provoquem danos físicos ou materiais a terceiros, cabendo-lhe, exclusivamente, todos os ônus para reparação de eventuais danos causados.</w:t>
      </w:r>
    </w:p>
    <w:p w14:paraId="65C853DA" w14:textId="77777777" w:rsidR="00A31407" w:rsidRPr="00A47D5D" w:rsidRDefault="00A31407" w:rsidP="00A31407">
      <w:pPr>
        <w:pStyle w:val="Corpodetexto"/>
        <w:ind w:left="360"/>
        <w:rPr>
          <w:rFonts w:cs="Arial"/>
          <w:sz w:val="24"/>
          <w:szCs w:val="24"/>
          <w:lang w:val="pt-BR"/>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Pr="00A47D5D" w:rsidRDefault="00A31407" w:rsidP="009C4F2F">
      <w:pPr>
        <w:pStyle w:val="Corpodetexto"/>
        <w:ind w:left="0"/>
        <w:jc w:val="both"/>
        <w:rPr>
          <w:rFonts w:cs="Arial"/>
          <w:sz w:val="24"/>
          <w:szCs w:val="24"/>
          <w:lang w:val="pt-BR"/>
        </w:rPr>
      </w:pPr>
      <w:r w:rsidRPr="00A47D5D">
        <w:rPr>
          <w:rFonts w:cs="Arial"/>
          <w:sz w:val="24"/>
          <w:szCs w:val="24"/>
          <w:lang w:val="pt-BR"/>
        </w:rPr>
        <w:t>No caso em que a CONTRATADA venha a, como resultado das suas operações, prejudicar áreas não incluídas no setor de seu trabalho, ele deverá recuperá-las deixando</w:t>
      </w:r>
      <w:r w:rsidRPr="00A47D5D">
        <w:rPr>
          <w:rFonts w:cs="Arial"/>
          <w:sz w:val="24"/>
          <w:szCs w:val="24"/>
          <w:lang w:val="pt-BR"/>
        </w:rPr>
        <w:noBreakHyphen/>
        <w:t>as em conformidade como o seu estado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questões, reclamações, demandas judiciais, ações por 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Pr="00A47D5D" w:rsidRDefault="00A31407" w:rsidP="009C4F2F">
      <w:pPr>
        <w:pStyle w:val="Corpodetexto"/>
        <w:ind w:left="0"/>
        <w:jc w:val="both"/>
        <w:rPr>
          <w:rFonts w:cs="Arial"/>
          <w:sz w:val="24"/>
          <w:szCs w:val="24"/>
          <w:lang w:val="pt-BR"/>
        </w:rPr>
      </w:pPr>
      <w:r w:rsidRPr="00A47D5D">
        <w:rPr>
          <w:rFonts w:cs="Arial"/>
          <w:sz w:val="24"/>
          <w:szCs w:val="24"/>
          <w:lang w:val="pt-BR"/>
        </w:rPr>
        <w:t xml:space="preserve">Os representantes da FISCALIZAÇÃO e toda pessoa autorizada pela mesma terão livre acesso às obras, ao canteiro, e a todos os locais onde estejam sendo realizados trabalhos, estocados e/ou fabricados materiais e equipamentos relativos à execução dos serviços contratados, no entanto, quando for necessário o acesso às dependências da contratada, deverá haver autorização do representante da empresa. </w:t>
      </w:r>
    </w:p>
    <w:p w14:paraId="423404AB" w14:textId="77777777" w:rsidR="009C4F2F" w:rsidRPr="00A47D5D" w:rsidRDefault="009C4F2F" w:rsidP="00A31407">
      <w:pPr>
        <w:pStyle w:val="Corpodetexto"/>
        <w:ind w:left="0"/>
        <w:rPr>
          <w:rFonts w:cs="Arial"/>
          <w:sz w:val="24"/>
          <w:szCs w:val="24"/>
          <w:lang w:val="pt-BR"/>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atividades que ocorrerem após as 18</w:t>
      </w:r>
      <w:r>
        <w:rPr>
          <w:rFonts w:ascii="Arial" w:hAnsi="Arial" w:cs="Arial"/>
          <w:snapToGrid w:val="0"/>
        </w:rPr>
        <w:t xml:space="preserve">:00 </w:t>
      </w:r>
      <w:r w:rsidRPr="00E265BC">
        <w:rPr>
          <w:rFonts w:ascii="Arial" w:hAnsi="Arial" w:cs="Arial"/>
          <w:snapToGrid w:val="0"/>
        </w:rPr>
        <w:t>h deverão ser 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subseqüentes;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Os níveis de segurança e higiene a serem providenciados pela 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não aceitará a transferência de qualquer responsabilidade da CONTRATADA para outras entidades, sejam fabricantes, técnicos, sub-empreiteiros,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poderá admitir os sub-empreiteiros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Quando houver necessidade de movimentar ou modificar outros 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w:t>
      </w:r>
      <w:r w:rsidRPr="00E265BC">
        <w:rPr>
          <w:rFonts w:ascii="Arial" w:hAnsi="Arial" w:cs="Arial"/>
          <w:snapToGrid w:val="0"/>
        </w:rPr>
        <w:lastRenderedPageBreak/>
        <w:t>for necessário para a execução, a conclusão e a manutenção das 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Os prazos para cada entrega estão definidos no Cronograma Físico-Financeiro e não poderão ser modificados. O atraso na entrega parcial poderá ensejar sanções confome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Lumicenter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cobertura em telhas onduladas de fibro-cimento.</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responsabilizar-se pelo cumprimento das NRs – Normas Regulamentadoras de Segurança e Medicina do Trabalho Nº 4, 7 e 18, bem como as demais NRs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Remoção completa de esquadrias metálicas e de madeira, incluindo contramarcos,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PV’s,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distãncia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Proctor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Estacas Pré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Deverão ser adotadas, pela CONTRATADA, precauções no sentido de evitar a ruptura, fendilhamento,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neoprene, selantes de poliu-retano ou outros materiais) entre as paredes e as lajes, evitando-se a perco-lação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reaterradas,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As membranas asfálticas moldadas a quente ou a frio são produtos imper-meabilizantes, moldados in loco, compostos pela sobreposição de camadas de asfalto, diferenciando-se a qualidade em função do tipo de asfalto e dos polímeros empregados. Os asfaltos podem ser asfaltos oxidados, policon-densados ou modificados. Os estrutu-rantes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 xml:space="preserve">A aplicação do asfalto se dá com o auxílio de broxas de fibras vegetais (vassourão),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hidrorrepelentes possuem características que proporcionam às argamassas ou concretos impermeabilidade, por produzirem uma reação coloido-química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hidrorrepelentes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hidros-tática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bi-componente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hidros-táticas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pêlo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ultra-rápida,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Antes do lançamento da argamassa de regularização ou assentamento deverá ser verificado o esquadro dos cômodos, dimensões, nivelamento, prumo, etc., sendo que a laje ou contrapiso deverá ser escovado e lavado com água limpa, e receberá uma nata de cimento com cola Bianco ou Viafix,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cinasita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r w:rsidRPr="00E265BC">
        <w:rPr>
          <w:rFonts w:cs="Arial"/>
          <w:sz w:val="24"/>
          <w:szCs w:val="24"/>
        </w:rPr>
        <w:t>Projeto de estruturas de concreto – Procedimento;</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Barras e fios de aço destinados a armaduras para concreto armado;</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Cimento Portland comum – Especificação;</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r w:rsidRPr="00E265BC">
        <w:rPr>
          <w:rFonts w:cs="Arial"/>
          <w:sz w:val="24"/>
          <w:szCs w:val="24"/>
        </w:rPr>
        <w:t>Concreto – Ensaio de corpos de prova cilíndricos;</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Cargas para o cálculo de estruturas de edificações;</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r w:rsidRPr="00E265BC">
        <w:rPr>
          <w:rFonts w:cs="Arial"/>
          <w:sz w:val="24"/>
          <w:szCs w:val="24"/>
        </w:rPr>
        <w:t>Projeto e execução de estruturas de aço de edifícios.</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contra-flechas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(fck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CONTRATADA deverá apresentar à FISCALIZAÇÃO a seqüência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Não será permitido o uso de concreto remisturado.</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caso de não-aceitação, por parte da FISCALIZAÇÃO, do elemento concretado, a CONTRATADA se obriga a demolí-lo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"slump-test",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(fck)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Concreteira.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jiricas,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caso de utilização de carrinhos ou jiricas,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apicoamento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permitirão a perfeita aderência entre o concreto já endurecido e o que vai ser lançado, devendo, portanto, a superfície das juntas receber tratamento com escova de aço, jateamento de areia ou qualquer outro processo que proporcione a formação de redentes,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espargimento, subsequente, de pequenos cristais de hiposulfito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 xml:space="preserve">Deve ser feita uma preparação adequada da abertura da junta e da superfície mediante limpeza do interior da junta e reconstituição, quando necessário, de suas arestas com “grout”.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pré-impregnada,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r w:rsidRPr="00E265BC">
        <w:rPr>
          <w:rFonts w:ascii="Arial" w:hAnsi="Arial" w:cs="Arial"/>
          <w:snapToGrid w:val="0"/>
        </w:rPr>
        <w:t>Viapol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Caberá à CONTRATADA fornecer e instalar aparelhos de apoio em neoprene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Dimensões dos aparelhos de neoprene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neoprene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Grauteamento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Consiste em fazer o enchimento das brocas das concretagens executadas até a data do início das obras, ou seja, que não foram executadas pela CONTRATADA. Esse enchimento será feito nos locais indicados FISCALIZAÇÂO. O Graute utilizado deverá ser de base cimenticia, autonivelante, não retrátil e com resistência conforme projeto. Ref. Sikagrout da fabricante Sika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contrapiso ou camada de regularização será obtido pelo sarrafeamento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Korodur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Pisoag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r w:rsidRPr="00E265BC">
        <w:rPr>
          <w:rFonts w:ascii="Arial" w:hAnsi="Arial" w:cs="Arial"/>
          <w:b/>
        </w:rPr>
        <w:lastRenderedPageBreak/>
        <w:t xml:space="preserve">Caracatrísticas Técnicas: </w:t>
      </w:r>
      <w:r w:rsidRPr="00E265BC">
        <w:rPr>
          <w:rFonts w:ascii="Arial" w:hAnsi="Arial" w:cs="Arial"/>
        </w:rPr>
        <w:t xml:space="preserve">Na área de Informática, no nível do semi-enterrado,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r w:rsidRPr="00E265BC">
        <w:rPr>
          <w:rFonts w:ascii="Arial" w:hAnsi="Arial" w:cs="Arial"/>
          <w:b/>
        </w:rPr>
        <w:t>Caracatrísticas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semi-enterrado.</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Os pedestais, cruzetas e logarinas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Para fixação será utilizado adesivo acrílico Ref Fadecril, ou adesivo betuminoso Ref. Flexofix da Fademac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PVAc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cêra,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Marcação - a colocação das placas deve ser iniciada a partir da marcação já pré determinada em paginação e pré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thiner ou solventes minerais; aguardar aproximadamente 15 minutos após o espalhamento do adesivo; para verificar o “tack”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tufting bouclê,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cor 470 – Pantanal, Tipo Beaulieu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tufting bouclê,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com rejunte anticorrosivo de base furânico resistente a ácidos e álcalis, para o rejuntamento de placas cerâmicas antiácidas, tipo Keranol FU 115 da Ancobras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O rejuntamento deverá ser feito com cimento anticorrosivo de base furânico resistente a ácidos e álcalis, para no rejuntamento de placas cerâmicos antiácidos tipo Keranol FU 115 da Ancobras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Safety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Argamassa industrializada Ref. Votomassa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(hidrófugo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Graute: </w:t>
      </w:r>
      <w:r w:rsidRPr="00E265BC">
        <w:rPr>
          <w:rFonts w:ascii="Arial" w:hAnsi="Arial" w:cs="Arial"/>
          <w:snapToGrid w:val="0"/>
        </w:rPr>
        <w:t>O graute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A alvenaria de blocos vazados de concreto será construída de forma a não ocorrerem obstruções nos furos. O padrão de assentamento deverá ser de junta amarrada. A armadura deverá ser colocada na base e no topo e preenchida com graute.</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contra-vergas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As superfícies de base devem ser executadas com argamassas específicas para cada caso e mestradas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Quando a temperatura se mostrar muito elevada e a umidade muito baixa proceder-se-á freqüentes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Alcoplac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Formiline.</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almond,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“self-closing”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Os produtos Neocom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Obs:</w:t>
      </w:r>
      <w:r w:rsidRPr="00E265BC">
        <w:rPr>
          <w:rFonts w:ascii="Arial" w:hAnsi="Arial" w:cs="Arial"/>
        </w:rPr>
        <w:t xml:space="preserve"> Encontra-se à disposição, biblioteca eletrônica do produto para download em formato.dwg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ALCOPLAC trata-se marca comercial exclusiva da Neocom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contraplacas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requadrado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micropersianas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Votomassa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Aplicar cantoneira para massa, na proteção dos cantos vivos, ref. Y – 006 da Potyguar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Reboco – industrializada, Saint Gobain Quartzolit Reboquit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Aplicar cantoneira para massa, na proteção dos cantos vivos, ref. Y – 006 da Potyguar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As superfícies de base devem ser executadas com argamassas específicas para cada caso e mestradas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inicio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tem(êm)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bastante freqüência</w:t>
      </w:r>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(HCl),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auxílio de uma manta abrasiva Scoth-Brite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Morlan. Nos encontros do metal, alvenaria e concreto usar Denvertec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escareamento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taliscamentos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Caso haja necessidade de espessura maior, por motivos de desaprumos, ou desalinhamentos, deverá primeiro ser efetuado o escareamento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chapiscadas.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Fabricante: Solidor,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Revestimento acústico de paredes em espuma flexível de poliuretano poliéster com células abertas, auto extinguível, Ref. Sonique, modelo Decor, ou equivalente, com flamabilidade conforme</w:t>
      </w:r>
      <w:r w:rsidR="000976CA">
        <w:rPr>
          <w:rFonts w:ascii="Arial" w:hAnsi="Arial" w:cs="Arial"/>
          <w:snapToGrid w:val="0"/>
        </w:rPr>
        <w:t xml:space="preserve"> </w:t>
      </w:r>
      <w:r w:rsidRPr="00E265BC">
        <w:rPr>
          <w:rFonts w:ascii="Arial" w:hAnsi="Arial" w:cs="Arial"/>
          <w:snapToGrid w:val="0"/>
        </w:rPr>
        <w:t xml:space="preserve">a norma NBR 9178, densidade de fumaça aceitável conforme norma ASTM E662-68, densidade conforme a norma NBR 8537:30, condutibilidade térmica K=0, 031 Kcal/mhC,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r w:rsidRPr="00864D33">
        <w:rPr>
          <w:rFonts w:ascii="Arial" w:hAnsi="Arial" w:cs="Arial"/>
          <w:i/>
        </w:rPr>
        <w:t>pregypan ba 13 std</w:t>
      </w:r>
      <w:r w:rsidRPr="00864D33">
        <w:rPr>
          <w:rFonts w:ascii="Arial" w:hAnsi="Arial" w:cs="Arial"/>
        </w:rPr>
        <w:t xml:space="preserve">, com dimensões 240cm x 120cm e espessura de 1,25cm, Ref. Lafarge / Tabica – Kofar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Estrutura de fixação: em perfis metálicos suspensos por tirantes rígidos fixados na laje com buchas de nylon e parafusos auto-atarrachantes fosfatizados.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instalada e deverá ser executada tabica de aço galvanizado, modelo K4048, da Kofar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r w:rsidRPr="00E265BC">
        <w:rPr>
          <w:rFonts w:ascii="Arial" w:hAnsi="Arial" w:cs="Arial"/>
          <w:i/>
        </w:rPr>
        <w:t xml:space="preserve">kraft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Materiais – Chapas Drywall</w:t>
      </w:r>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O comprimento dos apoios deve ser igual a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São peças utilizadas para fixar os componentes dos sistemas drywall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As fixações dos componentes dos sistemas drywall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tcPr>
          <w:p w14:paraId="7FA477B9" w14:textId="77777777" w:rsidR="00A31407" w:rsidRPr="000F5D51" w:rsidRDefault="00A31407" w:rsidP="00517DB7">
            <w:pPr>
              <w:spacing w:before="100" w:after="120"/>
              <w:ind w:left="360"/>
              <w:jc w:val="center"/>
              <w:rPr>
                <w:rFonts w:ascii="Arial" w:hAnsi="Arial" w:cs="Arial"/>
              </w:rPr>
            </w:pPr>
          </w:p>
        </w:tc>
        <w:tc>
          <w:tcPr>
            <w:tcW w:w="3523" w:type="dxa"/>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Fitas são componentes utilizados para o acabamento e para melhorar o desempenho dos sistemas drywall.</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w:t>
            </w:r>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São peças indispensáveis para a montagem dos sistemas drywall.</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Para a montagem dos sistemas Drywall,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r w:rsidRPr="00E265BC">
        <w:rPr>
          <w:rFonts w:ascii="Arial" w:hAnsi="Arial" w:cs="Arial"/>
          <w:b/>
          <w:bCs/>
        </w:rPr>
        <w:t>Parafusamento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Começar o parafusamento pelo canto da chapa que se encontra encostada na alvenaria ou nas chapas já instaladas, para se evitar comprimir as chapas no momento da parafusagem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Em seguida, colocar a fita de papel microperfurada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Referência: Placas de gesso Ref. Gyptone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termo-acústico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apoiados sobre perfis metálicos, Ref. Tile Tegular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Aluzinc,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‘Suprafine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Silhouete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Deverão ser fornecidos placas, perfis padrão de fixação, placas de lã mineral ensacadas, perfis personalizados de acordo com medidas pré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Para se garantir uma ventilação adequada as folhas terão um braço reversível á 90º colocado</w:t>
      </w:r>
      <w:r>
        <w:rPr>
          <w:rFonts w:ascii="Arial" w:hAnsi="Arial" w:cs="Arial"/>
          <w:color w:val="000000"/>
        </w:rPr>
        <w:t xml:space="preserve"> </w:t>
      </w:r>
      <w:r w:rsidRPr="00E265BC">
        <w:rPr>
          <w:rFonts w:ascii="Arial" w:hAnsi="Arial" w:cs="Arial"/>
          <w:color w:val="000000"/>
        </w:rPr>
        <w:t>destravado para que seja possível manter a folha nesta posição no seu uso diário.Esta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conseqüente à existência de um par bi-metálico.</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com bitolas superiores a 3/8” serão em aço inoxidável AISI- 304, estampados a frio ou, quando produzidos a quente, sofrerão eletropolimento.</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bitolas inferiores a 3/8” os parafusos serão em aço inoxidável austenítico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só poderão ser utilizadas para fixação de elementos acessórios, arremates etc</w:t>
      </w:r>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Resistência ao Ozônio: não deve apresentar fendilhamento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“cross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“bite”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eletro-deposição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pelo menos 75% do material deverá apresentar micragem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selagem atenderá às Normas NBR-9243 e NBR-12613 e poderá ser testada por perda de massa. São aceitas anodizações PRODEC e OLGA-COLOR; para outros anodizadores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Para a proteção do alumínio, durante a obra, evitando os danos decorrentes de sujeiras de obra – argamassas, gesso, poeira etc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sub-contratados,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Tipo: Linha DG Acabamento Aço Inox Dorma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Normas: NBR-11742 - Porta corta-fogo para saída de emergência, NBR-11711- Portas e vedadores corta-fogo com núcleo de madeira para isolamento de riscos em ambientes comerciais e industriais, MB-564/77 - Portas e vedações métodos de ensaio ao fogo (NBR-6479), NBR-11785 - Barra antipânico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Execução: Em chapas de aço galvanizadas circundadas em perfil "U" com miolo em fibro-cerâmica ou lã de rocha, e reforços internos para instalação de barra antipânico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neoprene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semi-maciças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As folhas das portas semi-maciças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veda-luz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arquietura. Sendo em madeira será em cedro maciço, espessura 30mm, largura de acordo com a espessura da parede e acrescida de 10mm. Batedor ou veda-luz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fornecimento de esquadrias inclui fornecimento e colocação de contramarcos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haver especial cuidado para que as armações não sofram qualquer torção quando aparafusadas aos chumbadores ou contramarcos.</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diferentemente, com acabamento cromado liso. Executar sistema de mestragem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11251CB9"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fabricação dos </w:t>
      </w:r>
      <w:r w:rsidR="0087303A" w:rsidRPr="00E265BC">
        <w:rPr>
          <w:rFonts w:ascii="Arial" w:hAnsi="Arial" w:cs="Arial"/>
        </w:rPr>
        <w:t>contramarco</w:t>
      </w:r>
      <w:r w:rsidRPr="00E265BC">
        <w:rPr>
          <w:rFonts w:ascii="Arial" w:hAnsi="Arial" w:cs="Arial"/>
        </w:rPr>
        <w:t xml:space="preserve">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as janelas maxim-ar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crepado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maxim-ar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MEK (metil Etil Ketone)</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anodizadora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toluol </w:t>
      </w:r>
      <w:r w:rsidRPr="00E265BC">
        <w:rPr>
          <w:rFonts w:ascii="Arial" w:hAnsi="Arial" w:cs="Arial"/>
        </w:rPr>
        <w:t xml:space="preserve">ou </w:t>
      </w:r>
      <w:r w:rsidRPr="00E265BC">
        <w:rPr>
          <w:rFonts w:ascii="Arial" w:hAnsi="Arial" w:cs="Arial"/>
          <w:i/>
        </w:rPr>
        <w:t>meck</w:t>
      </w:r>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r w:rsidRPr="00D57244">
        <w:rPr>
          <w:rFonts w:ascii="Arial" w:hAnsi="Arial" w:cs="Arial"/>
          <w:b/>
          <w:bCs/>
        </w:rPr>
        <w:t>Espatulamento:</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deverá prever a existência de dispositivos para absorção de flechas decorrentes de eventuais movimentos de estrutura, de modo a assegurar a indeformabilidade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juntas serão vedadas com material plástico anti-vibratório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deverão ser feitas com gaxetas de neoprene ou silicone, escovas de polipropileno e mástique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 caso de esquadrias de alumínio anodizado, as peças receberão tratamento prévio, compreendendo desengorduramento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Deverá haver especial cuidado para que as armações não sofram qualquer torção quando aparafusadas aos chumbadores ou contramarcos.</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 ou encaixes que permitam sua fácil remoção. Sua localização será feita com precisão, de modo a evitar visíveis desencontros de nível, posição e de mau funcionamento. Executar sistema de mestragem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rosetas e entradas serão auto-reguláveis,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lingüeta,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molas de bilha serão colocadas nas guarnições das portas, ficando as contra-chapas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evitar escorrimento ou salpicadura de tinta ou verniz em ferragens não destinadas à pintura, serão adotadas as precauções recomendadas no item Pintura Geral, deste Caderno de Encargos. Todas as peças expostas como chapas-testas, contra-chapas, espelhos, maçanetas trincos, puxadores entre outros. deverão ser recobertas com plástico adesivo protetor ou fita adesiva teflonada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obedecerão à discriminação dos projetos e 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Fornecer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Metalatex Linha Spazio, cor bianco, acabamento acetinado semi-brilho,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Zarcoral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semi-brilhante.</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Referência: Esmalte sintético, linha automotiva, Glassurit do Brasil ou equivalente, cor a definir, linha Selfcolor.</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Verniz a base de resina acrílica pura, não estirenada, Ref. Denverniz SB acabamento semi-fosco, aplicado sobre primer Denverniz Acqua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Denverniz Acqua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Denverniz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Referência: Pintura Ref. Epóxi WB base água, cor cinza claro, aplicada sobre primer Epóxi fundo da International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Rethane FHS 651, sobre primer a base de resina epóxi modificada Ref. Revran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Revran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pintura com tinta à base de poliuretano acrílico alifático Rethane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Hydrax, com aditivo fixador Globo-Fix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semi-brilhante, em dois componentes, aplicada em duas demãos, sendo a 1ª diluída com gta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Haverá um cuidado especial no sentido de evitar salpicadura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fornecimento das tintas indicadas, de toda a mão-de-obra qualificada necessária e sua conseqüente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sob iluminação e em superfície idêntica a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Todas as instalações aparentes, tais como luminárias, canoplas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eletrofundidas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“thiner”.</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Na garagem, as faixas demarcatórias das vagas e as demais das paredes e pilares, serão pintadas com tinta epóxi de alta espessura, semi-brilhante,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No guarda-corpo segui as recvomendações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r w:rsidRPr="00B817A3">
        <w:rPr>
          <w:rFonts w:ascii="Arial" w:hAnsi="Arial" w:cs="Arial"/>
          <w:b/>
          <w:bCs/>
        </w:rPr>
        <w:t>Aplicação:</w:t>
      </w:r>
      <w:r w:rsidRPr="005D0526">
        <w:rPr>
          <w:rFonts w:ascii="Arial" w:hAnsi="Arial" w:cs="Arial"/>
        </w:rPr>
        <w:t xml:space="preserve">Sanitários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chapas não ficarão em contato direto com nenhum elemento de sustentação, sendo para tal fim colocadas gaxetas de EPDM ou neoprene,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tratamento de bordo dos vidros será preferencialmente a Lapidação sendo as bordas lapidadas com rebolos de desenho especial para não cortar excessivamente inclinado e garantir borda perfeita sem agressões que causem micro-fissuras, trincas, lascas etc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Para os laminados mais espessos recomenda-se que as lâminas sejam pré-cortadas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Eventualmente poderá ser aceito o tratamento com corte limpo e arestas filetadas em máquina com rebolo de desenho adequado para realizar o filete sendo, se necessário, lixadas na parte central. 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“Float”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dras e Auto-Clave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Butiral,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composição, espessuras de resina etc,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“Float” incolores, de ótima qualidade ótica, recebendo a metalização por processo “on line” – pirolítico- ou “off line</w:t>
      </w:r>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não confirmação dos índices dentro de tolerâncias aceitáveis de acordo com as Normas Internacionais resultará na perda do contrato de fornecimento a menos que a contratada apresente outra opção 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Não serão aceitos vidros com diferenças de tonalidades, embaçamento, irização,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“Float”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Nenhum contato deve ocorrer entre o alumínio e peças em aço sendo interposta sempre uma fita isolante Bopp Scotch 383 ou Scotchrap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Os calços para a proteção dos vidros no encaixilhamento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área a ser tratada deverá estar isenta de corpos estranhos (pedaços de madeira, ferro etc),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"grout".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r w:rsidRPr="005D0526">
        <w:rPr>
          <w:rFonts w:cs="Arial"/>
          <w:b/>
          <w:sz w:val="24"/>
          <w:szCs w:val="24"/>
          <w:u w:val="single"/>
        </w:rPr>
        <w:t>Materiais utilizados:</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traço da argamassa deverá ser 1:3 (cimento e areia, espectivamente),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Umedecer a superfície a ser tratada e iniciar a aplicação do cimento polimérico com trincha ou vassoura de pêlo.</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pêlo,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semi-flexível,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Após aplicação e secagem do impermeabilizante semi flexível, toda a superfície devera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r w:rsidRPr="00E265BC">
        <w:rPr>
          <w:rFonts w:ascii="Arial" w:hAnsi="Arial" w:cs="Arial"/>
        </w:rPr>
        <w:t>Vassourão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devera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“grout”.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“grout”.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cintamento com cinta de alumínio (tipo Walsywa),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(cod. ¼ - 35 da Walsywa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r w:rsidRPr="00A741AF">
        <w:rPr>
          <w:rFonts w:ascii="Arial" w:hAnsi="Arial" w:cs="Arial"/>
          <w:b/>
          <w:u w:val="single"/>
        </w:rPr>
        <w:t>Conduites</w:t>
      </w:r>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Todos os conduites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O volume de água do amassamento a ser utilizado, variará proporcionalmente, de acordo com a umidade da areia a ser utilizada.</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t>Recomenda-se utilizar em condição pastosa, pois facilitará o sarrafeamento.</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As juntas perimetrais e as juntas entre quadros deverão ser preenchidas com mástique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525A3AD"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31AAB920" w14:textId="105C6F47" w:rsidR="00A31407" w:rsidRPr="00E265BC"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mástique.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As juntas perimetrais e as juntas entre quadros deverão ser preenchidas com mástique asfáltica composto de areia e emulsão asfáltica traço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Fixar a mesma com pino de aço ou pedaços de manta na faixa de aderência prevista em projeto e sobre esta executar a argamassa final. 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Poliuretano bi-componente (tipo Masterpur VD - Concreto da Urepol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No caso de fissuras, deverão ser executadas aberturas, a serem tratadas convenientemente, através de calafetação com mástique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Previamente à execução do sistema impermeabilizante descrito à seguir proceder à calafetação da região do entre o quadro do vitral e a parede vertical com mástique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bi-componente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As demãos deverão ser aplicadas sucessivamente, umas as outras, respeitando-se o tempo mínimo e máximo indicado pelo fabricante entre demãos, bem como o “pot life”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Poliuretano bi-componente: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Utilizar Poliuretano bi-componente tipo MasterpurVD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t>As juntas perimetrais e as juntas entre quadros deverão ser preenchidas com mástique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86A6245"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64802BD4" w14:textId="06A37920" w:rsidR="00A31407"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Adesivo Epoxi</w:t>
      </w:r>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Adesivo estrutural de base epóxi, de consistência tixotrópica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Revestimento bi-componente,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Emulsão asfaltica</w:t>
      </w:r>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Existem no mercado dois tipos de emulsões asfalticas,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(calcareos).</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Manta asfáltica modificada com SBS estruturada com armadura não tecida de filamentos sintéticos, previamente estabilizada com resina termofixa,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MLASTIC Imper</w:t>
      </w:r>
      <w:r w:rsidRPr="009716CD">
        <w:rPr>
          <w:rFonts w:ascii="Arial" w:hAnsi="Arial" w:cs="Arial"/>
        </w:rPr>
        <w:t xml:space="preserve"> (Argamassa polimérica flexível – Tipo Bautech)</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É uma argamassa de revestimento</w:t>
      </w:r>
      <w:r w:rsidRPr="00E265BC">
        <w:rPr>
          <w:rFonts w:cs="Arial"/>
          <w:sz w:val="24"/>
          <w:szCs w:val="24"/>
        </w:rPr>
        <w:t>, mono componente, impermeável, de alta flexibilidade, à base de E.V.A., cimentos especiais, fibras e aditivos, isento de acrílico e estireno.</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aplicação com demãos sucessivas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confere um revestimento com espessura mínima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máxima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intervalo entre demãos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espessura é determinada em detrimento da pressão hidrostática de trabalho.</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primeira demão recomendamos uma diluição de </w:t>
      </w:r>
      <w:smartTag w:uri="urn:schemas-microsoft-com:office:smarttags" w:element="metricconverter">
        <w:smartTagPr>
          <w:attr w:name="ProductID" w:val="5 litros"/>
        </w:smartTagPr>
        <w:r w:rsidRPr="00E265BC">
          <w:rPr>
            <w:rFonts w:cs="Arial"/>
            <w:sz w:val="24"/>
            <w:szCs w:val="24"/>
          </w:rPr>
          <w:t>5 litros</w:t>
        </w:r>
      </w:smartTag>
      <w:r w:rsidRPr="00E265BC">
        <w:rPr>
          <w:rFonts w:cs="Arial"/>
          <w:sz w:val="24"/>
          <w:szCs w:val="24"/>
        </w:rPr>
        <w:t xml:space="preserve"> por balde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recomendável a estruturação, quando necessário, na última demão com tela de poliéster e banho de P.V.C. ou preferencialmente com a utilização da fibra de vidro com resistência a alcalinidade, obedecendo a uma dosagem de </w:t>
      </w:r>
      <w:smartTag w:uri="urn:schemas-microsoft-com:office:smarttags" w:element="metricconverter">
        <w:smartTagPr>
          <w:attr w:name="ProductID" w:val="10 gramas"/>
        </w:smartTagPr>
        <w:r w:rsidRPr="00E265BC">
          <w:rPr>
            <w:rFonts w:cs="Arial"/>
            <w:sz w:val="24"/>
            <w:szCs w:val="24"/>
          </w:rPr>
          <w:t>10 gramas</w:t>
        </w:r>
      </w:smartTag>
      <w:r w:rsidRPr="00E265BC">
        <w:rPr>
          <w:rFonts w:cs="Arial"/>
          <w:sz w:val="24"/>
          <w:szCs w:val="24"/>
        </w:rPr>
        <w:t xml:space="preserve"> para cada balde.</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Dados técnicos</w:t>
      </w:r>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(Stomer)</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(pot life):</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r w:rsidRPr="00E265BC">
        <w:rPr>
          <w:rFonts w:ascii="Arial" w:hAnsi="Arial" w:cs="Arial"/>
          <w:b/>
          <w:u w:val="single"/>
        </w:rPr>
        <w:t>Mástique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Selante mono ou bi-componente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Poliuretano bi-componente</w:t>
      </w:r>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bi-componente,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MC Bauchemie – Murafam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Anchortec Fosroc – Chapix AR/Nitobond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Degussa Construction Chemical Brasil – Rheomix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Ltda - Denverfix</w:t>
        </w:r>
      </w:smartTag>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Eucocryl - Holdercim - Divisão Holderchen</w:t>
      </w:r>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Sikatop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fix"/>
        </w:smartTagPr>
        <w:r w:rsidRPr="00E265BC">
          <w:rPr>
            <w:rFonts w:ascii="Arial" w:hAnsi="Arial" w:cs="Arial"/>
            <w:szCs w:val="24"/>
          </w:rPr>
          <w:t>Ltda. - Viafix</w:t>
        </w:r>
      </w:smartTag>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Betoxi"/>
        </w:smartTagPr>
        <w:r w:rsidRPr="00E265BC">
          <w:rPr>
            <w:rFonts w:ascii="Arial" w:hAnsi="Arial" w:cs="Arial"/>
            <w:szCs w:val="24"/>
          </w:rPr>
          <w:t>Ltda - Betoxi</w:t>
        </w:r>
      </w:smartTag>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Viapol</w:t>
      </w:r>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r w:rsidRPr="00E265BC">
        <w:rPr>
          <w:rFonts w:cs="Arial"/>
          <w:i/>
          <w:sz w:val="24"/>
          <w:szCs w:val="24"/>
        </w:rPr>
        <w:t>Argamassa polimérica flexível</w:t>
      </w:r>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Argamassa Polimperica</w:t>
      </w:r>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Sika Top 106 - Elastocem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Bautech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Quimicryl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Technobello - Tecknolastic</w:t>
      </w:r>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t>Adesivo epoxi</w:t>
      </w:r>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Bauchemie – </w:t>
      </w:r>
      <w:r>
        <w:rPr>
          <w:rFonts w:ascii="Arial" w:hAnsi="Arial" w:cs="Arial"/>
          <w:szCs w:val="24"/>
        </w:rPr>
        <w:t>adesivo Epoxi</w:t>
      </w:r>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Nitopiso SL/Nitopiso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Industria Dryko Ltda – Drykopoxi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Coumpond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Sikadur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Anchortec Fosroc – Vedax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Vedamat"/>
        </w:smartTagPr>
        <w:r w:rsidRPr="00E265BC">
          <w:rPr>
            <w:rFonts w:ascii="Arial" w:hAnsi="Arial" w:cs="Arial"/>
            <w:szCs w:val="24"/>
          </w:rPr>
          <w:t>Ltda - Vedamat</w:t>
        </w:r>
      </w:smartTag>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soplus"/>
        </w:smartTagPr>
        <w:r w:rsidRPr="00E265BC">
          <w:rPr>
            <w:rFonts w:ascii="Arial" w:hAnsi="Arial" w:cs="Arial"/>
            <w:szCs w:val="24"/>
          </w:rPr>
          <w:t>Ltda. - Isoplus</w:t>
        </w:r>
      </w:smartTag>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Degussa Construction Chemicals Brasil -  Masterseal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Ltda - Denvertec</w:t>
        </w:r>
      </w:smartTag>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Lwart Proasfar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Zentrifix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Vedajá</w:t>
      </w:r>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Sikatop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plus"/>
        </w:smartTagPr>
        <w:r w:rsidRPr="00E265BC">
          <w:rPr>
            <w:rFonts w:ascii="Arial" w:hAnsi="Arial" w:cs="Arial"/>
            <w:szCs w:val="24"/>
          </w:rPr>
          <w:t>Ltda - Viaplus</w:t>
        </w:r>
      </w:smartTag>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Tecnocola – Tecnoagua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Anchorflex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VitKote</w:t>
      </w:r>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Ltda - Betufrio</w:t>
        </w:r>
      </w:smartTag>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mpercoteflex"/>
        </w:smartTagPr>
        <w:r w:rsidRPr="00E265BC">
          <w:rPr>
            <w:rFonts w:ascii="Arial" w:hAnsi="Arial" w:cs="Arial"/>
            <w:szCs w:val="24"/>
          </w:rPr>
          <w:t>Ltda. - Impercoteflex</w:t>
        </w:r>
      </w:smartTag>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Vedapren</w:t>
      </w:r>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Igolflex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Texsa Brasileira S/A - Emufaltexsa</w:t>
      </w:r>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Impermabilizantes </w:t>
      </w:r>
      <w:smartTag w:uri="urn:schemas-microsoft-com:office:smarttags" w:element="PersonName">
        <w:smartTagPr>
          <w:attr w:name="ProductID" w:val="Ltda - Vitkote"/>
        </w:smartTagPr>
        <w:r w:rsidRPr="00E265BC">
          <w:rPr>
            <w:rFonts w:ascii="Arial" w:hAnsi="Arial" w:cs="Arial"/>
            <w:szCs w:val="24"/>
          </w:rPr>
          <w:t>Ltda - Vitkote</w:t>
        </w:r>
      </w:smartTag>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Ltda - Wohaco</w:t>
        </w:r>
      </w:smartTag>
      <w:r w:rsidRPr="00E265BC">
        <w:rPr>
          <w:rFonts w:ascii="Arial" w:hAnsi="Arial" w:cs="Arial"/>
          <w:szCs w:val="24"/>
        </w:rPr>
        <w:t xml:space="preserve"> II - Flexcot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Manta asfáltica</w:t>
      </w:r>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s-CR"/>
        </w:rPr>
        <w:t>Viapol Impermeabilizantes Ltda – Torodin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Axter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Ltda. - Betumanta</w:t>
        </w:r>
      </w:smartTag>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 Citimanta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Mástiques</w:t>
      </w:r>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Ltda - Denverjunta</w:t>
        </w:r>
      </w:smartTag>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Indústrias Dryko Ltda – Drykojunta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Vedaflex</w:t>
      </w:r>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Sikaflex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Monopol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Ltda - Durolastic</w:t>
        </w:r>
      </w:smartTag>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Papel kraft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Nossa Senhora do Líbano – Papel kraft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Soluções asfalticas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Ltda. - Betuplast</w:t>
        </w:r>
      </w:smartTag>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Adeflex</w:t>
      </w:r>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t>Tela de poliéster</w:t>
      </w:r>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Rnetex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Norténe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gr/m², da Nortene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Fostherm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Basf - Isofoan</w:t>
      </w:r>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Ltda. – Citifoam (esp. 20 ou 25mm) Termocril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Term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Viafoam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Daw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Poliuretano bi-componente</w:t>
      </w:r>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Avibrás Aeroespacial – Imperbrás</w:t>
      </w:r>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Imperbond Pu</w:t>
      </w:r>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Ltda - Denverpren</w:t>
        </w:r>
      </w:smartTag>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-Lwart Proasfar Química Ltda. – Lwarflex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Petrobrás - Elastron</w:t>
      </w:r>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Vitpoli</w:t>
      </w:r>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Urepol</w:t>
      </w:r>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desdeque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Viscosidade Saybolt Furol,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r w:rsidRPr="00E265BC">
              <w:rPr>
                <w:rFonts w:ascii="Arial" w:hAnsi="Arial" w:cs="Arial"/>
              </w:rPr>
              <w:t>Penetraçãoa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Penetração residuo(%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NBR - 9910 ítem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pré chumbadas na parede, 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O esmalte será homogêneo, sem manchas, depressões, granulações ou fendilhamentos.</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(PB-6) e NBR-6499 (PB-7), naquilo que não colidir com os modelos expressamente especificados no projeto executivo.Os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Tubo flexível de cobre de 1/2” cromado, com canopla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r w:rsidRPr="00E265BC">
        <w:rPr>
          <w:rFonts w:ascii="Arial" w:hAnsi="Arial" w:cs="Arial"/>
        </w:rPr>
        <w:t>Canoplas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O proponente em hipótese alguma poderá sub-empreitar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materiais para complementação de aparelhos sanitários, tais como: ligações flexíveis cromadas, canoplas,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materiais para uso geral, tais como: pasta de solda, estopas, folha de serra, cossinetes,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Marcas sugeridas: Eluma, Riotermo e Termomecanica</w:t>
      </w:r>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serão do tipo rosqueável,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Registro de pressão, com acabamento, para diâmetros até ¾”, serão do tipo rosqueável,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com volante tipo alavanca, serão do tipo rosqueável,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Deca, Docol, Mipel</w:t>
      </w:r>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Válvulas de retenção vertical, serão do tipo rosqueável, com vedação de borracha para pressão nominal de 125 lb/pol2,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Válvulas de retenção horizontal, serão do tipo rosqueável, com portinhola, para pressão nominal de 125 lb/pol2,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Marcas sugeridas: Niagara, Docol, Mipel.</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Junta de expansão com fole de aço inox, altamente flexível com tubo guia inteno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Marcas sugeridas: Eluma, Riotermo, Termomecanica</w:t>
      </w:r>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Termomecanica</w:t>
      </w:r>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A grelha hemisférica, será de ferro fundido na forma de uma semi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Marca sugerida: Ferro Minas, Afer</w:t>
      </w:r>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“T”s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Metalgrade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conseqüentemente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No caso de erro ou discrepâncias, as especificações deverão prevalecer sobre os desenhos, devendo o fato de qualquer forma ser comunicado ao proprietário e ao projetista.</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3407FD70" w14:textId="77777777" w:rsidR="00A31407" w:rsidRPr="00E265BC" w:rsidRDefault="00A31407" w:rsidP="00D41DC0">
      <w:pPr>
        <w:pStyle w:val="Corpodetexto"/>
        <w:rPr>
          <w:rFonts w:cs="Arial"/>
          <w:sz w:val="24"/>
          <w:szCs w:val="24"/>
        </w:rPr>
      </w:pPr>
      <w:r w:rsidRPr="00E265BC">
        <w:rPr>
          <w:rFonts w:cs="Arial"/>
          <w:sz w:val="24"/>
          <w:szCs w:val="24"/>
        </w:rPr>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r w:rsidRPr="00E265BC">
        <w:rPr>
          <w:rFonts w:cs="Arial"/>
          <w:sz w:val="24"/>
          <w:szCs w:val="24"/>
        </w:rPr>
        <w:t>Quaisquer outros detalhes e esclarecimentos necessários, serão julgados e decididos, de comum acordo, entre a instaladora e o proprietário.</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built”,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Ramais sobre a terra: Serão apoiados sobre o lastro de concreto contínuo de 0,60m de largura com um traço de 1:2:3 cimento:areia:pedra.</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A colocação de aparelhos sanitários deve ser feita com o máximo esmero, a fim de dar acabamento de primeira qualidade. Não serão permitidas amassar ou cortar canoplas.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“rapid”.</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0,50mts/mt.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semi-industrial,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multi-uso,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.c.a.</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O sistema de esgoto será coletado através de ramais e coletores, escoando por gravidade até a ligação na rede coletora de esgoto existente. O sistema de ventilação de esgoto será feito por meio de colunas e ramais até a cobertura.</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As caixas e ralos sifonados a serem fornecidas e instaladas deverão ser em PVC rígido, montadas, completas, inclusive grelha e porta-grelha cromados, anel de borracha, dispositivo anti-infiltração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3,5 m</w:t>
        </w:r>
      </w:smartTag>
      <w:r w:rsidRPr="00E265BC">
        <w:rPr>
          <w:rFonts w:ascii="Arial" w:hAnsi="Arial" w:cs="Arial"/>
        </w:rPr>
        <w:t>.c.a).</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0,025 m</w:t>
        </w:r>
      </w:smartTag>
      <w:r w:rsidRPr="00E265BC">
        <w:rPr>
          <w:rFonts w:ascii="Arial" w:hAnsi="Arial" w:cs="Arial"/>
        </w:rPr>
        <w:t>.c.a).</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Vinilfort,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01 caixa de chapa ferro nº 16, 60x90x17cm, com porta de ferro pintada e duco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armário de hidrante deverá conter os equipamentos previstos pelas normas da ABNT e do CBMDF pertinentes,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A título de orientação, deve-se prever, no mínimo:</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um registro do tipo globo dotado de junta tipo Storz para adaptação de mangueira de 38mm (1 ½”) de diâmetro;</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r w:rsidRPr="00517DB7">
        <w:rPr>
          <w:rFonts w:cs="Arial"/>
          <w:sz w:val="24"/>
          <w:szCs w:val="24"/>
        </w:rPr>
        <w:t>uma mangueira semi-rígida de 38mm (1 ½”) de diâmetro, em dois lances de 15,0m cada, dotada de engates rápidos – junta tipo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psi,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siliconizado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Toda tubulação antes de ser abastecida com gás combustível deve ser obrigatóriamente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O teste de estanqueidade deve ser feito com ar comprimido ou gás inerte sendo proibido emprego de água ou qualquer outro líquido. Sob pressões de no mínimo quatro vezes a pressão de trabalho máximo permitida: 150 kpa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Toda a tubulação será executada em tubos e conexões de cobre, quando aparente, receber pintura na cor amarela e quando enterrada deverá ser protegida com fita apropriada para evitar a corrosão. As conexões serão de cobre ou bronze e deverão ser 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r w:rsidRPr="00E265BC">
        <w:rPr>
          <w:rFonts w:ascii="Arial" w:hAnsi="Arial" w:cs="Arial"/>
        </w:rPr>
        <w:t>m.c.a.</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No caso de erro ou discrepâncias, as especificações deverão prevalecer sobre os desenhos, devendo o fato de qualquer forma ser comunicado ao Senac e ao projetista.</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r w:rsidRPr="00E265BC">
        <w:rPr>
          <w:rFonts w:cs="Arial"/>
          <w:sz w:val="24"/>
          <w:szCs w:val="24"/>
        </w:rPr>
        <w:t>Quaisquer outros detalhes e esclarecimentos necessários, serão julgados e decididos, de comum acordo, entre a instaladora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Todas as emendas de cabos que se fizerem necessárias nos circuitos de distribuição, serão feitas com solda estanho, fita auto-fusão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Verificação da tensão, presença e seqüência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Todos os resultados deverão acompanhar os preceitos da norma NBR5410, item 7 - “Verificação final”, particularmente o sub-item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Todos os cabos partindo da caixa de medição e todos os circuitos partindo do quadro de distribuição deverão sofrer teste de isolação com Megger.</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Circuitos que apresentam isolação muito menor do valor mínimo estipulado pela norma, deverão ser examinados quanto a emendas ou imprensamentos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O cabo terra do Megger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desengraxamento, decapagem por jateamento de granalha de aço, proteção contra corrosão e acabamento interno e externo com pintura eletrostática a pó na cor cinza claro padrão Musell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varistores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Os quadros elétricos deverão ser construídos conforme diagramas trifilares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r w:rsidRPr="00E265BC">
        <w:rPr>
          <w:rFonts w:cs="Arial"/>
          <w:bCs/>
          <w:sz w:val="24"/>
          <w:szCs w:val="24"/>
        </w:rPr>
        <w:t xml:space="preserve">Deverão possuir espaços reservas no mínimo de 2 circuitos para quadros com até 6 circuitos; 3 circuitos para quadros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circuitos e 4 circuitos para quadros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circuitos.</w:t>
      </w:r>
    </w:p>
    <w:p w14:paraId="0E278CB2" w14:textId="77777777" w:rsidR="00A31407" w:rsidRPr="00E265BC" w:rsidRDefault="00A31407" w:rsidP="00E25479">
      <w:pPr>
        <w:jc w:val="both"/>
        <w:rPr>
          <w:rFonts w:ascii="Arial" w:hAnsi="Arial" w:cs="Arial"/>
          <w:bCs/>
        </w:rPr>
      </w:pPr>
      <w:r w:rsidRPr="00E265BC">
        <w:rPr>
          <w:rFonts w:ascii="Arial" w:hAnsi="Arial" w:cs="Arial"/>
          <w:bCs/>
        </w:rPr>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t>A tubulação foi dimensionada para condutores de cobre, com isolamento termoplástico anti-chama para 750V/70ºC tipo BWF Antiflam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Os eletrodutos a serem utilizados deverão ser de PVC rígido roscável,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atirantados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Em trechos enterrados, será empregado duto flexível de PEAD (polietileno de alta densidade) com parede dupla, sendo anelado externamente e liso internamente, fabricação Novoplastic,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nú, têmpera mole, encordoamento classe 5, com isolamento termoplástico em dupla camada poliolefínico não halogenado, tipo Afumex, fabricação Prysmian,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Para bitolas a partir de 6,0mm² serão utilizados cabos de cobre nú, com encordoamento classe 2,  isolamento em duas camadas de composto termoplástico de PVC sem chumbo, tipo Superastic, fabricação Prysmian,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Eprotenax, fabricação Prysmian,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Silentoque ou outro similar, montadas em conduletes de alumínio aparentes nas paredes e pilares, ou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pluges deverão ser em liga de cobre, contatos de prata, corpo em material termoplástico auto-extinguível,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Pial Plus e 2P+T e universal quadrada padrão brasileiro Mod quadrada tipo painel e quadrada padrão brasileiro, modelo Pial Plus montadas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Os quadros elétricos de iluminação e força deverão atender às normas e pertinentes, em especial ao contido nas NBR-5410, NBR-6146, NBR-6808 e NBR-5361, da ABNT. Deverão ter corpo em chapa metálica bitola mínima # 16MSG, tratamento pelo sistema de banho químico (desengraxe e fosfotização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curto-circuitos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freqüência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antivibratórios,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Freqüência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Beghim,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o Sitema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Serão utilizados para o aterramento cabos de cobre nú,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Vergalhoes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Re-Bar, galvanizados a fogo, clips galvanizados inclusos, </w:t>
      </w:r>
      <w:r w:rsidRPr="00E265BC">
        <w:rPr>
          <w:rFonts w:ascii="Arial" w:hAnsi="Arial" w:cs="Arial"/>
        </w:rPr>
        <w:sym w:font="Symbol" w:char="F0C6"/>
      </w:r>
      <w:r w:rsidRPr="00E265BC">
        <w:rPr>
          <w:rFonts w:ascii="Arial" w:hAnsi="Arial" w:cs="Arial"/>
        </w:rPr>
        <w:t xml:space="preserve"> 3/8” x 3,40m, fabricação Termotécnica,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fabricação Termotécnica,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r w:rsidRPr="00E265BC">
        <w:rPr>
          <w:rFonts w:ascii="Arial" w:hAnsi="Arial" w:cs="Arial"/>
          <w:szCs w:val="24"/>
        </w:rPr>
        <w:t>Infra-Estrutura</w:t>
      </w:r>
      <w:bookmarkEnd w:id="583"/>
    </w:p>
    <w:p w14:paraId="2B8B2F9E"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a infra-estrutura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Serão instaladas caixas de passagem em PVC rígido 4x2”, para eletroduto roscável,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“Tight”,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Para conexão, deverão ser fornecidos e instalados cabos UTP 4 pares, categoria 6, constituídos de cabo de pares trançados, compostos de condutores sólidos de cobre nú, 24AWG, isolados com polietileno especial e capa externa de PVC não propagante à chama, na cor vermelha, e cabos CTP APL – cabos de comunicação – constituídos de cabos de cobre nú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(Comité Consultatif International de Telégraphie et Teléphonie)</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(National Electrical Code)</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 xml:space="preserve">NEMA (National Electrical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As áreas que forem utilizadas durante a instalação do sistema deverão ser mantidas limpas e os detritos, removidos diariamente.</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É responsabilidade do FORNECEDOR assegurar que todos os componentes do Sistema deverão ser fabricados e testados, de 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listas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Concluídos os testes de campo será emitido o Termo de Aceitação Provisória dos módulos do sistema, com um relatório das pendências, se houver, que deverá ser atendido, pelo FORNECEDOR, no prazo Maximo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0 de todas as instalações, tal como se encontravam (“as built”) por ocasião da emissão do 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21A2" w14:textId="77777777" w:rsidR="00D13588" w:rsidRDefault="00D13588">
      <w:r>
        <w:separator/>
      </w:r>
    </w:p>
  </w:endnote>
  <w:endnote w:type="continuationSeparator" w:id="0">
    <w:p w14:paraId="6BB2E845" w14:textId="77777777" w:rsidR="00D13588" w:rsidRDefault="00D13588">
      <w:r>
        <w:continuationSeparator/>
      </w:r>
    </w:p>
  </w:endnote>
  <w:endnote w:type="continuationNotice" w:id="1">
    <w:p w14:paraId="2333CEBC" w14:textId="77777777" w:rsidR="00D13588" w:rsidRDefault="00D13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D13588">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End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2B65" w14:textId="77777777" w:rsidR="00D13588" w:rsidRDefault="00D13588">
      <w:r>
        <w:separator/>
      </w:r>
    </w:p>
  </w:footnote>
  <w:footnote w:type="continuationSeparator" w:id="0">
    <w:p w14:paraId="0274C995" w14:textId="77777777" w:rsidR="00D13588" w:rsidRDefault="00D13588">
      <w:r>
        <w:continuationSeparator/>
      </w:r>
    </w:p>
  </w:footnote>
  <w:footnote w:type="continuationNotice" w:id="1">
    <w:p w14:paraId="48405980" w14:textId="77777777" w:rsidR="00D13588" w:rsidRDefault="00D135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0E8"/>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0F"/>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303A"/>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D5D"/>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5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77412"/>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282"/>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6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4169"/>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2.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customXml/itemProps3.xml><?xml version="1.0" encoding="utf-8"?>
<ds:datastoreItem xmlns:ds="http://schemas.openxmlformats.org/officeDocument/2006/customXml" ds:itemID="{B6165B0A-F77A-4257-93A3-DF24C6C5C530}">
  <ds:schemaRefs>
    <ds:schemaRef ds:uri="http://schemas.microsoft.com/sharepoint/v3/contenttype/forms"/>
  </ds:schemaRefs>
</ds:datastoreItem>
</file>

<file path=customXml/itemProps4.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162</Pages>
  <Words>61093</Words>
  <Characters>354955</Characters>
  <Application>Microsoft Office Word</Application>
  <DocSecurity>0</DocSecurity>
  <Lines>10756</Lines>
  <Paragraphs>4571</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Robson Olimpio</cp:lastModifiedBy>
  <cp:revision>17</cp:revision>
  <cp:lastPrinted>2025-01-28T21:20:00Z</cp:lastPrinted>
  <dcterms:created xsi:type="dcterms:W3CDTF">2025-01-24T22:01:00Z</dcterms:created>
  <dcterms:modified xsi:type="dcterms:W3CDTF">2026-05-07T13:23:00Z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